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7777777" w:rsidR="008A314B" w:rsidRDefault="008A31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D7E36" w14:textId="77777777" w:rsidR="008A314B" w:rsidRPr="00707947" w:rsidRDefault="00911C0A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>Technology Transfer Experiment Open Call 2020 under the DIH-HERO innovation action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77777777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TTE: </w:t>
      </w:r>
    </w:p>
    <w:p w14:paraId="74D30438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Lead TTE partner: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08B5807A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this proposal template may be used for information purposes only. </w:t>
      </w:r>
      <w:r w:rsidR="004205FB">
        <w:rPr>
          <w:rFonts w:ascii="Arial" w:eastAsia="Arial" w:hAnsi="Arial" w:cs="Arial"/>
          <w:sz w:val="22"/>
          <w:szCs w:val="22"/>
        </w:rPr>
        <w:t>The part 2 of the proposal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application form.</w:t>
      </w:r>
      <w:r>
        <w:rPr>
          <w:rFonts w:ascii="Arial" w:eastAsia="Arial" w:hAnsi="Arial" w:cs="Arial"/>
          <w:sz w:val="22"/>
          <w:szCs w:val="22"/>
        </w:rPr>
        <w:t xml:space="preserve"> Proposals will have to be submitted using the online application form provided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71E05764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46857DAE" w14:textId="77777777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3F054726" w14:textId="77777777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48875658" w14:textId="77777777" w:rsidR="008A314B" w:rsidRDefault="008A314B">
      <w:bookmarkStart w:id="1" w:name="_heading=h.6h2f7tjh10eq" w:colFirst="0" w:colLast="0"/>
      <w:bookmarkEnd w:id="1"/>
    </w:p>
    <w:p w14:paraId="0B084A22" w14:textId="77777777" w:rsidR="006539FF" w:rsidRPr="00707947" w:rsidRDefault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2" w:name="_heading=h.yv7tphoxpyff" w:colFirst="0" w:colLast="0"/>
      <w:bookmarkEnd w:id="2"/>
      <w:r w:rsidRPr="00707947">
        <w:rPr>
          <w:rFonts w:ascii="Arial" w:eastAsia="Arial" w:hAnsi="Arial" w:cs="Arial"/>
          <w:b/>
          <w:bCs/>
          <w:color w:val="19356C"/>
        </w:rPr>
        <w:lastRenderedPageBreak/>
        <w:t>Abstract</w:t>
      </w:r>
    </w:p>
    <w:p w14:paraId="5810BDDC" w14:textId="77777777" w:rsidR="006B2BC5" w:rsidRPr="00707947" w:rsidRDefault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(max. 500 words)</w:t>
      </w:r>
    </w:p>
    <w:p w14:paraId="15509404" w14:textId="4DDE0A6F" w:rsidR="008A314B" w:rsidRPr="00707947" w:rsidRDefault="006539FF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Give a brief </w:t>
      </w:r>
      <w:r w:rsidR="00911C0A" w:rsidRPr="00707947">
        <w:rPr>
          <w:rFonts w:ascii="Arial" w:hAnsi="Arial" w:cs="Arial"/>
          <w:i/>
          <w:iCs/>
          <w:color w:val="19356C"/>
          <w:sz w:val="18"/>
          <w:szCs w:val="18"/>
        </w:rPr>
        <w:t>description of the TTE project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, its major objective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 xml:space="preserve">, a description of the technology to be transferred from </w:t>
      </w:r>
      <w:r w:rsidR="002B6DE6" w:rsidRPr="002B6DE6">
        <w:rPr>
          <w:rFonts w:ascii="Arial" w:hAnsi="Arial" w:cs="Arial"/>
          <w:i/>
          <w:iCs/>
          <w:color w:val="19356C"/>
          <w:sz w:val="18"/>
          <w:szCs w:val="18"/>
        </w:rPr>
        <w:t>outside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 xml:space="preserve"> the healthcare/robotics domain</w:t>
      </w:r>
      <w:r w:rsidR="002B6DE6" w:rsidRPr="002B6DE6">
        <w:rPr>
          <w:rFonts w:ascii="Arial" w:hAnsi="Arial" w:cs="Arial"/>
          <w:i/>
          <w:iCs/>
          <w:color w:val="19356C"/>
          <w:sz w:val="18"/>
          <w:szCs w:val="18"/>
        </w:rPr>
        <w:t xml:space="preserve"> and creating new links inside the value chain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the clinical relevance of the TTE project. </w:t>
      </w:r>
    </w:p>
    <w:p w14:paraId="4F4B10EE" w14:textId="77777777" w:rsidR="006539FF" w:rsidRPr="00707947" w:rsidRDefault="006539FF" w:rsidP="006539FF">
      <w:pPr>
        <w:spacing w:line="288" w:lineRule="auto"/>
        <w:jc w:val="both"/>
        <w:rPr>
          <w:rFonts w:ascii="Arial" w:hAnsi="Arial" w:cs="Arial"/>
          <w:color w:val="19356C"/>
        </w:rPr>
      </w:pPr>
    </w:p>
    <w:p w14:paraId="0DD54C23" w14:textId="77777777" w:rsidR="006539FF" w:rsidRPr="00707947" w:rsidRDefault="006539FF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Excellence</w:t>
      </w:r>
    </w:p>
    <w:p w14:paraId="4AD68DBE" w14:textId="77777777" w:rsidR="006B2BC5" w:rsidRPr="00707947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 3 pages)</w:t>
      </w:r>
    </w:p>
    <w:p w14:paraId="24088040" w14:textId="77777777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ambition of the proposed experiment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752CE300" w14:textId="77777777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innovative nature of the technologies, products or services offered through the TTE project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60D6957" w14:textId="77777777" w:rsidR="006B2BC5" w:rsidRPr="00707947" w:rsidRDefault="006B2BC5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Elaborate</w:t>
      </w:r>
      <w:r w:rsidR="006539FF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on the soundness of the technical approach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B8F0FA3" w14:textId="77777777" w:rsidR="006B2BC5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novel use of value chains inside and outside healthcare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1A57C2AC" w14:textId="77777777" w:rsidR="006B2BC5" w:rsidRPr="00707947" w:rsidRDefault="006B2BC5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3D40DE3" w14:textId="77777777" w:rsidR="006B2BC5" w:rsidRPr="00707947" w:rsidRDefault="006B2BC5" w:rsidP="006B2BC5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Impact</w:t>
      </w:r>
    </w:p>
    <w:p w14:paraId="6925894A" w14:textId="77777777" w:rsidR="00BD350C" w:rsidRPr="00707947" w:rsidRDefault="00BD350C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 4 pages)</w:t>
      </w:r>
    </w:p>
    <w:p w14:paraId="6010D53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Analyze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market opportunity and market readiness level.</w:t>
      </w:r>
    </w:p>
    <w:p w14:paraId="00CF9591" w14:textId="7777777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Explain the commercial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trategy and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the 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calability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accompanying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TTE project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6A98A35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are you planning to generate new business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127E561" w14:textId="77777777" w:rsidR="00BD350C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Describe the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ealthcare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i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mpact. </w:t>
      </w:r>
    </w:p>
    <w:p w14:paraId="12977C2E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What is the added value of the TTE? </w:t>
      </w:r>
    </w:p>
    <w:p w14:paraId="58839E31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does the planned TTE improve service quality and outcome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in healthcare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? </w:t>
      </w:r>
    </w:p>
    <w:p w14:paraId="4C58A174" w14:textId="77777777" w:rsidR="00BD350C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Elaborate on 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Economic impact</w:t>
      </w:r>
    </w:p>
    <w:p w14:paraId="7F36CF4E" w14:textId="77777777" w:rsidR="00BD350C" w:rsidRPr="00707947" w:rsidRDefault="00BD350C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In what way does the TTE contribute to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cost saving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job transformation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, skill enhancement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74BBE050" w14:textId="7777777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business model and funding plan</w:t>
      </w:r>
    </w:p>
    <w:p w14:paraId="66995C5D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and adoption of standards</w:t>
      </w:r>
    </w:p>
    <w:p w14:paraId="24794D0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EU wide adoption of Robotics in Healthcare</w:t>
      </w:r>
    </w:p>
    <w:p w14:paraId="5C8BE472" w14:textId="77777777" w:rsidR="00BD350C" w:rsidRPr="00707947" w:rsidRDefault="00BD350C" w:rsidP="00BD350C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7DC7D562" w14:textId="77777777" w:rsidR="006B2BC5" w:rsidRPr="00707947" w:rsidRDefault="006B2BC5" w:rsidP="0070794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 xml:space="preserve">Implementation </w:t>
      </w:r>
    </w:p>
    <w:p w14:paraId="765206FC" w14:textId="77777777" w:rsidR="00707947" w:rsidRPr="00707947" w:rsidRDefault="00707947" w:rsidP="0070794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ax. 4 pages)</w:t>
      </w:r>
    </w:p>
    <w:p w14:paraId="43E2F173" w14:textId="77777777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end-u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ser involvement and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alignment with proposal</w:t>
      </w:r>
    </w:p>
    <w:p w14:paraId="7455A503" w14:textId="77777777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Define the 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eam capabilities and management capacity of action</w:t>
      </w:r>
    </w:p>
    <w:p w14:paraId="14A854EF" w14:textId="77777777" w:rsidR="00707947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 a work plan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 xml:space="preserve">, specifying the work division among partners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(incl. deliverables and milestones)</w:t>
      </w:r>
    </w:p>
    <w:p w14:paraId="18CF1D95" w14:textId="77777777" w:rsidR="006D7B01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Depict the r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esource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utilization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efficienc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>y</w:t>
      </w:r>
    </w:p>
    <w:p w14:paraId="5CAE9EEA" w14:textId="77777777" w:rsidR="006D7B01" w:rsidRPr="006D7B01" w:rsidRDefault="006D7B01" w:rsidP="006D7B01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2136348" w14:textId="77777777" w:rsidR="008A314B" w:rsidRDefault="006D7B01" w:rsidP="006D7B01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TTE Partner profiles</w:t>
      </w:r>
    </w:p>
    <w:p w14:paraId="2CD486B1" w14:textId="77777777" w:rsidR="006D7B01" w:rsidRPr="006D7B01" w:rsidRDefault="006D7B01" w:rsidP="006D7B01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b/>
          <w:bCs/>
          <w:color w:val="19356C"/>
        </w:rPr>
        <w:t xml:space="preserve"> </w:t>
      </w:r>
      <w:r w:rsidRPr="006D7B01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>max. 0.5 -1 page per partner)</w:t>
      </w:r>
    </w:p>
    <w:p w14:paraId="703FFD5A" w14:textId="360E7EF2" w:rsidR="00166CE6" w:rsidRPr="00166CE6" w:rsidRDefault="006D7B01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Give each partner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>'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s capabilities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and experiences </w:t>
      </w:r>
      <w:r>
        <w:rPr>
          <w:rFonts w:ascii="Arial" w:hAnsi="Arial" w:cs="Arial"/>
          <w:i/>
          <w:iCs/>
          <w:color w:val="19356C"/>
          <w:sz w:val="18"/>
          <w:szCs w:val="18"/>
        </w:rPr>
        <w:t>in regard to TTE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and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its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particular 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contribution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>to the current one.</w:t>
      </w:r>
    </w:p>
    <w:p w14:paraId="61E769B8" w14:textId="77777777" w:rsidR="00166CE6" w:rsidRDefault="00166CE6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Why is the collaboration of all the partners expected to reach the desired outcomes in regard to healthcare and economic impacts?</w:t>
      </w:r>
    </w:p>
    <w:p w14:paraId="05CF93C9" w14:textId="77777777" w:rsidR="00166CE6" w:rsidRDefault="00166CE6" w:rsidP="00166CE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76534A1" w14:textId="105F912B" w:rsidR="00166CE6" w:rsidRDefault="00166CE6" w:rsidP="00166CE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166CE6">
        <w:rPr>
          <w:rFonts w:ascii="Arial" w:eastAsia="Arial" w:hAnsi="Arial" w:cs="Arial"/>
          <w:b/>
          <w:bCs/>
          <w:color w:val="19356C"/>
        </w:rPr>
        <w:t>Resource planning</w:t>
      </w:r>
      <w:r w:rsidR="00B86C94">
        <w:rPr>
          <w:rFonts w:ascii="Arial" w:eastAsia="Arial" w:hAnsi="Arial" w:cs="Arial"/>
          <w:b/>
          <w:bCs/>
          <w:color w:val="19356C"/>
        </w:rPr>
        <w:t xml:space="preserve"> </w:t>
      </w:r>
      <w:r w:rsidR="00E94FA9">
        <w:rPr>
          <w:rFonts w:ascii="Arial" w:eastAsia="Arial" w:hAnsi="Arial" w:cs="Arial"/>
          <w:b/>
          <w:bCs/>
          <w:color w:val="19356C"/>
        </w:rPr>
        <w:t>/ TTE budget</w:t>
      </w:r>
    </w:p>
    <w:p w14:paraId="50A0B737" w14:textId="77777777" w:rsidR="00B86C94" w:rsidRPr="00B86C94" w:rsidRDefault="00B86C94" w:rsidP="00166CE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B86C94">
        <w:rPr>
          <w:rFonts w:ascii="Arial" w:hAnsi="Arial" w:cs="Arial"/>
          <w:i/>
          <w:iCs/>
          <w:color w:val="19356C"/>
          <w:sz w:val="18"/>
          <w:szCs w:val="18"/>
        </w:rPr>
        <w:t>(max. 2 pages)</w:t>
      </w:r>
    </w:p>
    <w:p w14:paraId="40A191B2" w14:textId="1DB0563E" w:rsidR="00B86C94" w:rsidRDefault="00166CE6" w:rsidP="00166C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Use the given </w:t>
      </w:r>
      <w:hyperlink r:id="rId10" w:history="1">
        <w:r w:rsidRPr="00DC17CD">
          <w:rPr>
            <w:rStyle w:val="Hyperlink"/>
            <w:rFonts w:ascii="Arial" w:hAnsi="Arial" w:cs="Arial"/>
            <w:i/>
            <w:iCs/>
            <w:sz w:val="18"/>
            <w:szCs w:val="18"/>
          </w:rPr>
          <w:t>budget template</w:t>
        </w:r>
      </w:hyperlink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in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>order to give a detailed estimation on the resource planning</w:t>
      </w:r>
      <w:r w:rsidR="00334DD6">
        <w:rPr>
          <w:rFonts w:ascii="Arial" w:hAnsi="Arial" w:cs="Arial"/>
          <w:i/>
          <w:iCs/>
          <w:color w:val="19356C"/>
          <w:sz w:val="18"/>
          <w:szCs w:val="18"/>
        </w:rPr>
        <w:t xml:space="preserve"> and total budget required</w:t>
      </w: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including the PM per Partner</w:t>
      </w:r>
    </w:p>
    <w:p w14:paraId="115F35E7" w14:textId="77777777" w:rsidR="00334DD6" w:rsidRPr="00334DD6" w:rsidRDefault="00334DD6" w:rsidP="00334DD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CA3A966" w14:textId="77777777" w:rsidR="00334DD6" w:rsidRDefault="00334DD6" w:rsidP="00334DD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334DD6">
        <w:rPr>
          <w:rFonts w:ascii="Arial" w:eastAsia="Arial" w:hAnsi="Arial" w:cs="Arial"/>
          <w:b/>
          <w:bCs/>
          <w:color w:val="19356C"/>
        </w:rPr>
        <w:t>Ethical issues, data protection and privacy</w:t>
      </w:r>
    </w:p>
    <w:p w14:paraId="7DA676A8" w14:textId="77777777" w:rsid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(max.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2 pages)</w:t>
      </w:r>
    </w:p>
    <w:p w14:paraId="76230B9B" w14:textId="77777777" w:rsid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issues on ethics, data protection, and privacy of relevance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for the TTE projects. </w:t>
      </w:r>
    </w:p>
    <w:p w14:paraId="39812DD3" w14:textId="77777777" w:rsidR="00334DD6" w:rsidRP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potential risks and appropriate mitigation measures. </w:t>
      </w:r>
    </w:p>
    <w:p w14:paraId="2BC7BC83" w14:textId="77777777" w:rsidR="00334DD6" w:rsidRP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2897C4A9" w14:textId="77777777" w:rsidR="00B86C94" w:rsidRPr="00B86C94" w:rsidRDefault="00B86C94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9428F25" w14:textId="2490D07A" w:rsidR="008A314B" w:rsidRDefault="008A314B" w:rsidP="00FB2E7A"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8A314B" w:rsidSect="00FB2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331C" w14:textId="77777777" w:rsidR="008606EB" w:rsidRDefault="008606EB">
      <w:r>
        <w:separator/>
      </w:r>
    </w:p>
  </w:endnote>
  <w:endnote w:type="continuationSeparator" w:id="0">
    <w:p w14:paraId="2FAFB81F" w14:textId="77777777" w:rsidR="008606EB" w:rsidRDefault="008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EB0B" w14:textId="77777777" w:rsidR="008606EB" w:rsidRDefault="008606EB">
      <w:r>
        <w:separator/>
      </w:r>
    </w:p>
  </w:footnote>
  <w:footnote w:type="continuationSeparator" w:id="0">
    <w:p w14:paraId="6750FF87" w14:textId="77777777" w:rsidR="008606EB" w:rsidRDefault="0086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0372" w14:textId="77777777" w:rsidR="00FB2E7A" w:rsidRDefault="00FB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72F" w14:textId="77777777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TECHNOLOGY TRANSFER EXPERIMENT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Pr="006539FF">
      <w:rPr>
        <w:rFonts w:ascii="Arial" w:hAnsi="Arial" w:cs="Arial"/>
        <w:color w:val="000000"/>
        <w:sz w:val="20"/>
        <w:szCs w:val="20"/>
      </w:rPr>
      <w:t>Proposal Template</w:t>
    </w:r>
    <w:r w:rsidR="004205FB">
      <w:rPr>
        <w:rFonts w:ascii="Arial" w:hAnsi="Arial" w:cs="Arial"/>
        <w:color w:val="000000"/>
        <w:sz w:val="20"/>
        <w:szCs w:val="20"/>
      </w:rPr>
      <w:t xml:space="preserve"> - Part 2 - Description of the TTE</w:t>
    </w:r>
    <w:r w:rsidR="00775E3D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8241" w14:textId="77777777" w:rsidR="00FB2E7A" w:rsidRDefault="00FB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166CE6"/>
    <w:rsid w:val="00276BBB"/>
    <w:rsid w:val="002B6DE6"/>
    <w:rsid w:val="00334DD6"/>
    <w:rsid w:val="004205FB"/>
    <w:rsid w:val="00447D70"/>
    <w:rsid w:val="00456733"/>
    <w:rsid w:val="004845FF"/>
    <w:rsid w:val="005115AA"/>
    <w:rsid w:val="005238C6"/>
    <w:rsid w:val="005A308E"/>
    <w:rsid w:val="005E6037"/>
    <w:rsid w:val="006539FF"/>
    <w:rsid w:val="00694204"/>
    <w:rsid w:val="006B2BC5"/>
    <w:rsid w:val="006D7B01"/>
    <w:rsid w:val="00707947"/>
    <w:rsid w:val="00754F09"/>
    <w:rsid w:val="00775E3D"/>
    <w:rsid w:val="007C790B"/>
    <w:rsid w:val="00856B77"/>
    <w:rsid w:val="008606EB"/>
    <w:rsid w:val="008A314B"/>
    <w:rsid w:val="008A387B"/>
    <w:rsid w:val="00911C0A"/>
    <w:rsid w:val="00913487"/>
    <w:rsid w:val="00924F9D"/>
    <w:rsid w:val="00AB4B55"/>
    <w:rsid w:val="00B86C94"/>
    <w:rsid w:val="00B91EC7"/>
    <w:rsid w:val="00BD350C"/>
    <w:rsid w:val="00DC17CD"/>
    <w:rsid w:val="00DE1F39"/>
    <w:rsid w:val="00E94FA9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ih-hero.eu/wp-content/uploads/2020/07/DIH-HERO-aanvraag-declaratie-15-01-2019-6-2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h-hero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M. (GA)</cp:lastModifiedBy>
  <cp:revision>2</cp:revision>
  <dcterms:created xsi:type="dcterms:W3CDTF">2020-07-04T09:12:00Z</dcterms:created>
  <dcterms:modified xsi:type="dcterms:W3CDTF">2020-07-04T09:12:00Z</dcterms:modified>
</cp:coreProperties>
</file>