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7777777" w:rsidR="008A314B" w:rsidRDefault="008A314B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5D7E36" w14:textId="613880EA" w:rsidR="008A314B" w:rsidRPr="00707947" w:rsidRDefault="000E2F74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>COVID-19 Response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 Open Call 202</w:t>
      </w:r>
      <w:r w:rsidR="001C637E">
        <w:rPr>
          <w:rFonts w:ascii="Arial" w:eastAsia="Arial" w:hAnsi="Arial" w:cs="Arial"/>
          <w:b/>
          <w:color w:val="19356C"/>
          <w:sz w:val="32"/>
          <w:szCs w:val="32"/>
        </w:rPr>
        <w:t>1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 under the DIH-HERO </w:t>
      </w:r>
      <w:r w:rsidR="005B3AF0">
        <w:rPr>
          <w:rFonts w:ascii="Arial" w:eastAsia="Arial" w:hAnsi="Arial" w:cs="Arial"/>
          <w:b/>
          <w:color w:val="19356C"/>
          <w:sz w:val="32"/>
          <w:szCs w:val="32"/>
        </w:rPr>
        <w:t>I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nnovation </w:t>
      </w:r>
      <w:r w:rsidR="005B3AF0">
        <w:rPr>
          <w:rFonts w:ascii="Arial" w:eastAsia="Arial" w:hAnsi="Arial" w:cs="Arial"/>
          <w:b/>
          <w:color w:val="19356C"/>
          <w:sz w:val="32"/>
          <w:szCs w:val="32"/>
        </w:rPr>
        <w:t>A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>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6A85A3E4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0E2F74">
        <w:rPr>
          <w:rFonts w:ascii="Arial" w:eastAsia="Arial" w:hAnsi="Arial" w:cs="Arial"/>
          <w:b/>
          <w:color w:val="19356C"/>
        </w:rPr>
        <w:t>C</w:t>
      </w:r>
      <w:r w:rsidR="002256B7">
        <w:rPr>
          <w:rFonts w:ascii="Arial" w:eastAsia="Arial" w:hAnsi="Arial" w:cs="Arial"/>
          <w:b/>
          <w:color w:val="19356C"/>
        </w:rPr>
        <w:t xml:space="preserve">OVID-19 </w:t>
      </w:r>
      <w:r w:rsidR="000E2F74">
        <w:rPr>
          <w:rFonts w:ascii="Arial" w:eastAsia="Arial" w:hAnsi="Arial" w:cs="Arial"/>
          <w:b/>
          <w:color w:val="19356C"/>
        </w:rPr>
        <w:t>R</w:t>
      </w:r>
      <w:r w:rsidR="002256B7">
        <w:rPr>
          <w:rFonts w:ascii="Arial" w:eastAsia="Arial" w:hAnsi="Arial" w:cs="Arial"/>
          <w:b/>
          <w:color w:val="19356C"/>
        </w:rPr>
        <w:t>esponse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1EFFE63B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Lead partner</w:t>
      </w:r>
      <w:r w:rsidR="002256B7">
        <w:rPr>
          <w:rFonts w:ascii="Arial" w:eastAsia="Arial" w:hAnsi="Arial" w:cs="Arial"/>
          <w:b/>
          <w:color w:val="19356C"/>
        </w:rPr>
        <w:t xml:space="preserve"> of </w:t>
      </w:r>
      <w:r w:rsidR="002256B7" w:rsidRPr="00707947">
        <w:rPr>
          <w:rFonts w:ascii="Arial" w:eastAsia="Arial" w:hAnsi="Arial" w:cs="Arial"/>
          <w:b/>
          <w:color w:val="19356C"/>
        </w:rPr>
        <w:t xml:space="preserve">the </w:t>
      </w:r>
      <w:r w:rsidR="002256B7">
        <w:rPr>
          <w:rFonts w:ascii="Arial" w:eastAsia="Arial" w:hAnsi="Arial" w:cs="Arial"/>
          <w:b/>
          <w:color w:val="19356C"/>
        </w:rPr>
        <w:t>COVID-19 Response Project</w:t>
      </w:r>
      <w:r w:rsidRPr="00707947">
        <w:rPr>
          <w:rFonts w:ascii="Arial" w:eastAsia="Arial" w:hAnsi="Arial" w:cs="Arial"/>
          <w:b/>
          <w:color w:val="19356C"/>
        </w:rPr>
        <w:t>:</w:t>
      </w:r>
    </w:p>
    <w:p w14:paraId="5E55CECE" w14:textId="291E2F52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39B9955C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this proposal template may be used for information purposes only. </w:t>
      </w:r>
      <w:r w:rsidR="001C637E">
        <w:rPr>
          <w:rFonts w:ascii="Arial" w:eastAsia="Arial" w:hAnsi="Arial" w:cs="Arial"/>
          <w:sz w:val="22"/>
          <w:szCs w:val="22"/>
        </w:rPr>
        <w:t>P</w:t>
      </w:r>
      <w:r w:rsidR="004205FB">
        <w:rPr>
          <w:rFonts w:ascii="Arial" w:eastAsia="Arial" w:hAnsi="Arial" w:cs="Arial"/>
          <w:sz w:val="22"/>
          <w:szCs w:val="22"/>
        </w:rPr>
        <w:t>art 2 of the proposal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application form.</w:t>
      </w:r>
      <w:r>
        <w:rPr>
          <w:rFonts w:ascii="Arial" w:eastAsia="Arial" w:hAnsi="Arial" w:cs="Arial"/>
          <w:sz w:val="22"/>
          <w:szCs w:val="22"/>
        </w:rPr>
        <w:t xml:space="preserve"> Proposals will have to be submitted using the online application form provided at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71E05764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46857DAE" w14:textId="77777777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3F054726" w14:textId="77777777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48875658" w14:textId="77777777" w:rsidR="008A314B" w:rsidRDefault="008A314B">
      <w:bookmarkStart w:id="1" w:name="_heading=h.6h2f7tjh10eq" w:colFirst="0" w:colLast="0"/>
      <w:bookmarkEnd w:id="1"/>
    </w:p>
    <w:p w14:paraId="0B084A22" w14:textId="501235F7" w:rsidR="006539FF" w:rsidRPr="00707947" w:rsidRDefault="002256B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2" w:name="_heading=h.yv7tphoxpyff" w:colFirst="0" w:colLast="0"/>
      <w:bookmarkEnd w:id="2"/>
      <w:r>
        <w:rPr>
          <w:rFonts w:ascii="Arial" w:eastAsia="Arial" w:hAnsi="Arial" w:cs="Arial"/>
          <w:b/>
          <w:bCs/>
          <w:color w:val="19356C"/>
        </w:rPr>
        <w:lastRenderedPageBreak/>
        <w:t xml:space="preserve">Introduction </w:t>
      </w:r>
    </w:p>
    <w:p w14:paraId="172EC66F" w14:textId="7033B4E3" w:rsidR="00363E20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(max. 500 words)</w:t>
      </w:r>
    </w:p>
    <w:p w14:paraId="0AAF587C" w14:textId="77777777" w:rsidR="002256B7" w:rsidRDefault="002256B7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9E0B22F" w14:textId="142F288F" w:rsidR="00363E20" w:rsidRPr="00707947" w:rsidRDefault="00363E20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Briefly describe the </w:t>
      </w:r>
      <w:r w:rsidR="000E2F74">
        <w:rPr>
          <w:rFonts w:ascii="Arial" w:hAnsi="Arial" w:cs="Arial"/>
          <w:i/>
          <w:iCs/>
          <w:color w:val="19356C"/>
          <w:sz w:val="18"/>
          <w:szCs w:val="18"/>
        </w:rPr>
        <w:t>C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 xml:space="preserve">OVID-19 </w:t>
      </w:r>
      <w:r w:rsidR="000E2F74">
        <w:rPr>
          <w:rFonts w:ascii="Arial" w:hAnsi="Arial" w:cs="Arial"/>
          <w:i/>
          <w:iCs/>
          <w:color w:val="19356C"/>
          <w:sz w:val="18"/>
          <w:szCs w:val="18"/>
        </w:rPr>
        <w:t>R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>esponse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project and its major objective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496F3212" w14:textId="77777777" w:rsidR="00363E20" w:rsidRDefault="00363E20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DD54C23" w14:textId="77777777" w:rsidR="006539FF" w:rsidRPr="00707947" w:rsidRDefault="006539FF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Excellence</w:t>
      </w:r>
    </w:p>
    <w:p w14:paraId="4AD68DBE" w14:textId="18D31329" w:rsidR="006B2BC5" w:rsidRPr="00707947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  <w:r w:rsidR="00DF254D">
        <w:rPr>
          <w:rFonts w:ascii="Arial" w:hAnsi="Arial" w:cs="Arial"/>
          <w:i/>
          <w:iCs/>
          <w:color w:val="19356C"/>
          <w:sz w:val="18"/>
          <w:szCs w:val="18"/>
        </w:rPr>
        <w:t>2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303CC43E" w14:textId="11D6E7ED" w:rsidR="005B3AF0" w:rsidRPr="005B3AF0" w:rsidRDefault="005B3AF0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Give a clear definition of the current clinical demand or need related to COVID-19 (direct COVID-19 and post-covid-19 challenges) addressed by the robotics solution. </w:t>
      </w:r>
    </w:p>
    <w:p w14:paraId="26414A94" w14:textId="4D0C3789" w:rsidR="005B3AF0" w:rsidRPr="005B3AF0" w:rsidRDefault="005B3AF0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Describe the ambition for the proposed deployment. </w:t>
      </w:r>
    </w:p>
    <w:p w14:paraId="31D6D141" w14:textId="3FE9834A" w:rsidR="005B3AF0" w:rsidRPr="005B3AF0" w:rsidRDefault="005B3AF0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Elaborate on the soundness of the technical approach. </w:t>
      </w:r>
    </w:p>
    <w:p w14:paraId="19267B04" w14:textId="7C8C378D" w:rsidR="005B3AF0" w:rsidRPr="005B3AF0" w:rsidRDefault="005B3AF0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>Demonstrate the novelty and inventiveness in the proposed approach and solution.</w:t>
      </w:r>
    </w:p>
    <w:p w14:paraId="7449F81B" w14:textId="2153A195" w:rsidR="005B3AF0" w:rsidRPr="005B3AF0" w:rsidRDefault="00D554B1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Show your</w:t>
      </w:r>
      <w:r w:rsidR="005B3AF0"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 understanding of the relevant current state deployment and the contribution made by the proposal to advancing it.  </w:t>
      </w:r>
    </w:p>
    <w:p w14:paraId="54C011BA" w14:textId="0B4D4981" w:rsidR="005B3AF0" w:rsidRPr="005B3AF0" w:rsidRDefault="00D554B1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Show</w:t>
      </w:r>
      <w:r w:rsidR="005B3AF0"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 a clear understanding of the clinical or healthcare relevance of the proposal</w:t>
      </w:r>
      <w:r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1A57C2AC" w14:textId="77777777" w:rsidR="006B2BC5" w:rsidRPr="00707947" w:rsidRDefault="006B2BC5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3D40DE3" w14:textId="77777777" w:rsidR="006B2BC5" w:rsidRPr="00707947" w:rsidRDefault="006B2BC5" w:rsidP="006B2BC5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Impact</w:t>
      </w:r>
    </w:p>
    <w:p w14:paraId="6925894A" w14:textId="30FE10D0" w:rsidR="00BD350C" w:rsidRPr="00707947" w:rsidRDefault="00BD350C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  <w:r w:rsidR="000D74CB">
        <w:rPr>
          <w:rFonts w:ascii="Arial" w:hAnsi="Arial" w:cs="Arial"/>
          <w:i/>
          <w:iCs/>
          <w:color w:val="19356C"/>
          <w:sz w:val="18"/>
          <w:szCs w:val="18"/>
        </w:rPr>
        <w:t>4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2A03A4BE" w14:textId="0BA46DA1" w:rsidR="00D554B1" w:rsidRPr="00D554B1" w:rsidRDefault="00D554B1" w:rsidP="00D554B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the healthcare impact and added value of the solution and its deployment.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68D3D75A" w14:textId="344F4C55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Explain h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ow successful deployment of the robot in the clinical settings can be recognized (what does success look like from your perspective?).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21F978BB" w14:textId="361143B5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Define the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 xml:space="preserve"> impact on healthcare professionals and healthcare processes</w:t>
      </w:r>
      <w:r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7A995A06" w14:textId="7751B49C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</w:t>
      </w:r>
      <w:r>
        <w:rPr>
          <w:rFonts w:ascii="Arial" w:hAnsi="Arial" w:cs="Arial"/>
          <w:i/>
          <w:iCs/>
          <w:color w:val="19356C"/>
          <w:sz w:val="18"/>
          <w:szCs w:val="18"/>
        </w:rPr>
        <w:t>Provide a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risk assessment of robot deployment in the proposed clinical settings and mitigations. 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681F8BF1" w14:textId="693D0A5B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Identify t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he potential to up-scale the solution. 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1D488ED2" w14:textId="4D36B85E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Elaborate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on the benefits to the end-user.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039BC1D8" w14:textId="32CB4C9A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Elaborate 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on the financial impact of deployment for the end-user.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09682DC0" w14:textId="7AA924F1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Outline a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business model and funding plan for large scale deployment.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7CAFCDA7" w14:textId="47B4FE4E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 t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he necessary standards and regulatory compliance needed for successful deployment.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7F7174A1" w14:textId="037B9E3C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Explain t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he contribution made to the EU wide adoption of Robotics in Healthcare.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3E943328" w14:textId="03362E7B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Show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 xml:space="preserve"> that the robotic application proposed has not yet been deployed on a larger scale in the clinical setting (deployed in less than 2 European countries (TRL 7-8)</w:t>
      </w:r>
      <w:r>
        <w:rPr>
          <w:rFonts w:ascii="Arial" w:hAnsi="Arial" w:cs="Arial"/>
          <w:i/>
          <w:iCs/>
          <w:color w:val="19356C"/>
          <w:sz w:val="18"/>
          <w:szCs w:val="18"/>
          <w:lang w:val="nl-NL"/>
        </w:rPr>
        <w:t>)</w:t>
      </w:r>
    </w:p>
    <w:p w14:paraId="5C8BE472" w14:textId="77777777" w:rsidR="00BD350C" w:rsidRPr="00707947" w:rsidRDefault="00BD350C" w:rsidP="00BD350C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7DC7D562" w14:textId="77777777" w:rsidR="006B2BC5" w:rsidRPr="00707947" w:rsidRDefault="006B2BC5" w:rsidP="0070794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 xml:space="preserve">Implementation </w:t>
      </w:r>
    </w:p>
    <w:p w14:paraId="765206FC" w14:textId="77ECB295" w:rsidR="00707947" w:rsidRPr="00707947" w:rsidRDefault="00707947" w:rsidP="0070794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ax. </w:t>
      </w:r>
      <w:r w:rsidR="000D74CB">
        <w:rPr>
          <w:rFonts w:ascii="Arial" w:hAnsi="Arial" w:cs="Arial"/>
          <w:i/>
          <w:iCs/>
          <w:color w:val="19356C"/>
          <w:sz w:val="18"/>
          <w:szCs w:val="18"/>
        </w:rPr>
        <w:t>4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7861162B" w14:textId="5782824C" w:rsidR="00D554B1" w:rsidRPr="00D554B1" w:rsidRDefault="00D554B1" w:rsidP="00D554B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Explain the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 xml:space="preserve"> involvement of end-users in the implementation and deployment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clearly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 xml:space="preserve"> in 4 different deployment work packages.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3F9C687B" w14:textId="6F63E50C" w:rsidR="00D554B1" w:rsidRPr="00D554B1" w:rsidRDefault="00D554B1" w:rsidP="00D554B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Explain t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he process of deployment at each end-user site. 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6E611012" w14:textId="1F0E1073" w:rsidR="00D554B1" w:rsidRPr="00D554B1" w:rsidRDefault="000D74CB" w:rsidP="00D554B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Identify t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he deployment challenges are clearly identified.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0590F8BF" w14:textId="07FB32A6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Develop a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 work plan, specifying the work division among partners (incl. deliverables and milestones</w:t>
      </w:r>
      <w:r>
        <w:rPr>
          <w:rFonts w:ascii="Arial" w:hAnsi="Arial" w:cs="Arial"/>
          <w:i/>
          <w:iCs/>
          <w:color w:val="19356C"/>
          <w:sz w:val="18"/>
          <w:szCs w:val="18"/>
        </w:rPr>
        <w:t>)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25A35D01" w14:textId="68A637F8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Depict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 the resource utilization and efficiency.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0733A9E3" w14:textId="4A7A04AE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Identify t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he resources and training needed at the end-user sites for successful deployment.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6409179E" w14:textId="00DEBA2B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Document t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he approvals and consent needed to operate successfully at each of the end-user sites and the timeline to acquire them.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4BDC0468" w14:textId="5CA65DA8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 the management and monitoring approach used to track project and deployment progress, especially at the end-user sites.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5CAE9EEA" w14:textId="7563D45D" w:rsidR="006D7B01" w:rsidRPr="000D74CB" w:rsidRDefault="00D554B1" w:rsidP="006D7B01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32136348" w14:textId="533BA672" w:rsidR="008A314B" w:rsidRDefault="006D7B01" w:rsidP="006D7B01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Partner profiles</w:t>
      </w:r>
    </w:p>
    <w:p w14:paraId="2CD486B1" w14:textId="59CBCAAF" w:rsidR="006D7B01" w:rsidRPr="006D7B01" w:rsidRDefault="006D7B01" w:rsidP="006D7B01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b/>
          <w:bCs/>
          <w:color w:val="19356C"/>
        </w:rPr>
        <w:t xml:space="preserve"> </w:t>
      </w:r>
      <w:r w:rsidRPr="006D7B01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>max. 1 page per partner)</w:t>
      </w:r>
    </w:p>
    <w:p w14:paraId="703FFD5A" w14:textId="74135DDC" w:rsidR="00166CE6" w:rsidRPr="00166CE6" w:rsidRDefault="006D7B01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Give each partner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>'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s capabilities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and experiences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regarding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5B3AF0">
        <w:rPr>
          <w:rFonts w:ascii="Arial" w:hAnsi="Arial" w:cs="Arial"/>
          <w:i/>
          <w:iCs/>
          <w:color w:val="19356C"/>
          <w:sz w:val="18"/>
          <w:szCs w:val="18"/>
        </w:rPr>
        <w:t>COVID-19 Response project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and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its </w:t>
      </w:r>
      <w:r w:rsidR="005B3AF0">
        <w:rPr>
          <w:rFonts w:ascii="Arial" w:hAnsi="Arial" w:cs="Arial"/>
          <w:i/>
          <w:iCs/>
          <w:color w:val="19356C"/>
          <w:sz w:val="18"/>
          <w:szCs w:val="18"/>
        </w:rPr>
        <w:t>contribution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61E769B8" w14:textId="160EFA1A" w:rsidR="00166CE6" w:rsidRDefault="00166CE6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Why is the collaboration of all the partners expected to reach the desired outcomes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regarding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5B3AF0">
        <w:rPr>
          <w:rFonts w:ascii="Arial" w:hAnsi="Arial" w:cs="Arial"/>
          <w:i/>
          <w:iCs/>
          <w:color w:val="19356C"/>
          <w:sz w:val="18"/>
          <w:szCs w:val="18"/>
        </w:rPr>
        <w:t>the deployment of a robotic application a healthcare-related environment</w:t>
      </w:r>
      <w:r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05CF93C9" w14:textId="77777777" w:rsidR="00166CE6" w:rsidRDefault="00166CE6" w:rsidP="00166CE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50A0B737" w14:textId="1EE4DAA1" w:rsidR="00B86C94" w:rsidRPr="002256B7" w:rsidRDefault="00166CE6" w:rsidP="00166CE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166CE6">
        <w:rPr>
          <w:rFonts w:ascii="Arial" w:eastAsia="Arial" w:hAnsi="Arial" w:cs="Arial"/>
          <w:b/>
          <w:bCs/>
          <w:color w:val="19356C"/>
        </w:rPr>
        <w:t>Resource planning</w:t>
      </w:r>
      <w:r w:rsidR="00B86C94">
        <w:rPr>
          <w:rFonts w:ascii="Arial" w:eastAsia="Arial" w:hAnsi="Arial" w:cs="Arial"/>
          <w:b/>
          <w:bCs/>
          <w:color w:val="19356C"/>
        </w:rPr>
        <w:t xml:space="preserve"> </w:t>
      </w:r>
      <w:r w:rsidR="00E94FA9">
        <w:rPr>
          <w:rFonts w:ascii="Arial" w:eastAsia="Arial" w:hAnsi="Arial" w:cs="Arial"/>
          <w:b/>
          <w:bCs/>
          <w:color w:val="19356C"/>
        </w:rPr>
        <w:t xml:space="preserve">/ </w:t>
      </w:r>
      <w:r w:rsidR="000E2F74">
        <w:rPr>
          <w:rFonts w:ascii="Arial" w:eastAsia="Arial" w:hAnsi="Arial" w:cs="Arial"/>
          <w:b/>
          <w:bCs/>
          <w:color w:val="19356C"/>
        </w:rPr>
        <w:t>CR</w:t>
      </w:r>
      <w:r w:rsidR="00E94FA9">
        <w:rPr>
          <w:rFonts w:ascii="Arial" w:eastAsia="Arial" w:hAnsi="Arial" w:cs="Arial"/>
          <w:b/>
          <w:bCs/>
          <w:color w:val="19356C"/>
        </w:rPr>
        <w:t xml:space="preserve"> budget</w:t>
      </w:r>
    </w:p>
    <w:p w14:paraId="40A191B2" w14:textId="4D14506C" w:rsidR="00B86C94" w:rsidRDefault="00166CE6" w:rsidP="00166CE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Use the given </w:t>
      </w:r>
      <w:hyperlink r:id="rId13" w:history="1">
        <w:r w:rsidRPr="002F4177">
          <w:rPr>
            <w:rStyle w:val="Hyperlink"/>
            <w:rFonts w:ascii="Arial" w:hAnsi="Arial" w:cs="Arial"/>
            <w:i/>
            <w:iCs/>
            <w:sz w:val="18"/>
            <w:szCs w:val="18"/>
          </w:rPr>
          <w:t>budget templ</w:t>
        </w:r>
        <w:r w:rsidRPr="002F4177">
          <w:rPr>
            <w:rStyle w:val="Hyperlink"/>
            <w:rFonts w:ascii="Arial" w:hAnsi="Arial" w:cs="Arial"/>
            <w:i/>
            <w:iCs/>
            <w:sz w:val="18"/>
            <w:szCs w:val="18"/>
          </w:rPr>
          <w:t>a</w:t>
        </w:r>
        <w:r w:rsidRPr="002F4177">
          <w:rPr>
            <w:rStyle w:val="Hyperlink"/>
            <w:rFonts w:ascii="Arial" w:hAnsi="Arial" w:cs="Arial"/>
            <w:i/>
            <w:iCs/>
            <w:sz w:val="18"/>
            <w:szCs w:val="18"/>
          </w:rPr>
          <w:t>te</w:t>
        </w:r>
      </w:hyperlink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to give a detailed estimation on the resource planning</w:t>
      </w:r>
      <w:r w:rsidR="00334DD6">
        <w:rPr>
          <w:rFonts w:ascii="Arial" w:hAnsi="Arial" w:cs="Arial"/>
          <w:i/>
          <w:iCs/>
          <w:color w:val="19356C"/>
          <w:sz w:val="18"/>
          <w:szCs w:val="18"/>
        </w:rPr>
        <w:t xml:space="preserve"> and total budget required</w:t>
      </w: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including the PM per Partner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 xml:space="preserve"> (to be uploaded separately in the online application form).</w:t>
      </w:r>
    </w:p>
    <w:p w14:paraId="115F35E7" w14:textId="77777777" w:rsidR="00334DD6" w:rsidRPr="00334DD6" w:rsidRDefault="00334DD6" w:rsidP="00334DD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CA3A966" w14:textId="18F65E18" w:rsidR="00334DD6" w:rsidRDefault="00334DD6" w:rsidP="00334DD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334DD6">
        <w:rPr>
          <w:rFonts w:ascii="Arial" w:eastAsia="Arial" w:hAnsi="Arial" w:cs="Arial"/>
          <w:b/>
          <w:bCs/>
          <w:color w:val="19356C"/>
        </w:rPr>
        <w:t>Ethical issues, data protection</w:t>
      </w:r>
      <w:r w:rsidR="001C637E">
        <w:rPr>
          <w:rFonts w:ascii="Arial" w:eastAsia="Arial" w:hAnsi="Arial" w:cs="Arial"/>
          <w:b/>
          <w:bCs/>
          <w:color w:val="19356C"/>
        </w:rPr>
        <w:t>,</w:t>
      </w:r>
      <w:r w:rsidRPr="00334DD6">
        <w:rPr>
          <w:rFonts w:ascii="Arial" w:eastAsia="Arial" w:hAnsi="Arial" w:cs="Arial"/>
          <w:b/>
          <w:bCs/>
          <w:color w:val="19356C"/>
        </w:rPr>
        <w:t xml:space="preserve"> and privacy</w:t>
      </w:r>
    </w:p>
    <w:p w14:paraId="7DA676A8" w14:textId="77777777" w:rsidR="00334DD6" w:rsidRDefault="00334DD6" w:rsidP="00334DD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(max.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2 pages)</w:t>
      </w:r>
    </w:p>
    <w:p w14:paraId="76230B9B" w14:textId="7B0D2ECC" w:rsid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issues on ethics, data protection, and privacy of relevance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for the 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>COVID-19 Response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project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>, especially in the deployment phase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</w:p>
    <w:p w14:paraId="39428F25" w14:textId="2490D07A" w:rsidR="008A314B" w:rsidRDefault="008A314B" w:rsidP="00FB2E7A"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8A314B" w:rsidSect="00FB2E7A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9774" w14:textId="77777777" w:rsidR="002C24E5" w:rsidRDefault="002C24E5">
      <w:r>
        <w:separator/>
      </w:r>
    </w:p>
  </w:endnote>
  <w:endnote w:type="continuationSeparator" w:id="0">
    <w:p w14:paraId="55F56FF5" w14:textId="77777777" w:rsidR="002C24E5" w:rsidRDefault="002C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00775E3D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C8" w14:textId="77777777" w:rsidR="00FB2E7A" w:rsidRDefault="00FB2E7A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85A8" w14:textId="77777777" w:rsidR="002C24E5" w:rsidRDefault="002C24E5">
      <w:r>
        <w:separator/>
      </w:r>
    </w:p>
  </w:footnote>
  <w:footnote w:type="continuationSeparator" w:id="0">
    <w:p w14:paraId="06CCB889" w14:textId="77777777" w:rsidR="002C24E5" w:rsidRDefault="002C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272F" w14:textId="4579F7BD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39FF">
      <w:rPr>
        <w:rFonts w:ascii="Arial" w:hAnsi="Arial" w:cs="Arial"/>
        <w:color w:val="000000"/>
        <w:sz w:val="20"/>
        <w:szCs w:val="20"/>
      </w:rPr>
      <w:t xml:space="preserve">DIH-HERO - </w:t>
    </w:r>
    <w:r w:rsidR="000E2F74">
      <w:rPr>
        <w:rFonts w:ascii="Arial" w:hAnsi="Arial" w:cs="Arial"/>
        <w:color w:val="000000"/>
        <w:sz w:val="20"/>
        <w:szCs w:val="20"/>
      </w:rPr>
      <w:t xml:space="preserve">COVID-19 Response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Pr="006539FF">
      <w:rPr>
        <w:rFonts w:ascii="Arial" w:hAnsi="Arial" w:cs="Arial"/>
        <w:color w:val="000000"/>
        <w:sz w:val="20"/>
        <w:szCs w:val="20"/>
      </w:rPr>
      <w:t>Proposal Template</w:t>
    </w:r>
    <w:r w:rsidR="004205FB">
      <w:rPr>
        <w:rFonts w:ascii="Arial" w:hAnsi="Arial" w:cs="Arial"/>
        <w:color w:val="000000"/>
        <w:sz w:val="20"/>
        <w:szCs w:val="20"/>
      </w:rPr>
      <w:t xml:space="preserve"> - Part 2 - Description of the </w:t>
    </w:r>
    <w:r w:rsidR="000E2F74">
      <w:rPr>
        <w:rFonts w:ascii="Arial" w:hAnsi="Arial" w:cs="Arial"/>
        <w:color w:val="000000"/>
        <w:sz w:val="20"/>
        <w:szCs w:val="20"/>
      </w:rPr>
      <w:t>COVID-19 Response</w:t>
    </w:r>
    <w:r w:rsidR="005B3AF0">
      <w:rPr>
        <w:rFonts w:ascii="Arial" w:hAnsi="Arial" w:cs="Arial"/>
        <w:color w:val="000000"/>
        <w:sz w:val="20"/>
        <w:szCs w:val="20"/>
      </w:rPr>
      <w:t xml:space="preserve"> Project</w:t>
    </w:r>
    <w:r w:rsidR="00775E3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81128"/>
    <w:multiLevelType w:val="multilevel"/>
    <w:tmpl w:val="A05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E07880"/>
    <w:multiLevelType w:val="multilevel"/>
    <w:tmpl w:val="474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10B0"/>
    <w:multiLevelType w:val="multilevel"/>
    <w:tmpl w:val="E39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13CEB"/>
    <w:multiLevelType w:val="multilevel"/>
    <w:tmpl w:val="7E7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716DA6"/>
    <w:multiLevelType w:val="hybridMultilevel"/>
    <w:tmpl w:val="3A10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1539F7"/>
    <w:multiLevelType w:val="multilevel"/>
    <w:tmpl w:val="109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0"/>
  </w:num>
  <w:num w:numId="5">
    <w:abstractNumId w:val="18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5"/>
  </w:num>
  <w:num w:numId="14">
    <w:abstractNumId w:val="17"/>
  </w:num>
  <w:num w:numId="15">
    <w:abstractNumId w:val="3"/>
  </w:num>
  <w:num w:numId="16">
    <w:abstractNumId w:val="6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IHMizNzI0NLZR0lIJTi4sz8/NACkxqAY/s97ksAAAA"/>
  </w:docVars>
  <w:rsids>
    <w:rsidRoot w:val="008A314B"/>
    <w:rsid w:val="00030097"/>
    <w:rsid w:val="000D74CB"/>
    <w:rsid w:val="000E2F74"/>
    <w:rsid w:val="00166CE6"/>
    <w:rsid w:val="001C637E"/>
    <w:rsid w:val="002256B7"/>
    <w:rsid w:val="0027435B"/>
    <w:rsid w:val="00276BBB"/>
    <w:rsid w:val="002B6DE6"/>
    <w:rsid w:val="002C24E5"/>
    <w:rsid w:val="002F4177"/>
    <w:rsid w:val="00334DD6"/>
    <w:rsid w:val="00363E20"/>
    <w:rsid w:val="003A2C98"/>
    <w:rsid w:val="004205FB"/>
    <w:rsid w:val="00447D70"/>
    <w:rsid w:val="00456733"/>
    <w:rsid w:val="004845FF"/>
    <w:rsid w:val="005115AA"/>
    <w:rsid w:val="005238C6"/>
    <w:rsid w:val="00563B32"/>
    <w:rsid w:val="005A308E"/>
    <w:rsid w:val="005B3AF0"/>
    <w:rsid w:val="005C5503"/>
    <w:rsid w:val="005E6037"/>
    <w:rsid w:val="006539FF"/>
    <w:rsid w:val="00694204"/>
    <w:rsid w:val="006B2BC5"/>
    <w:rsid w:val="006D7B01"/>
    <w:rsid w:val="00707947"/>
    <w:rsid w:val="00754F09"/>
    <w:rsid w:val="00775E3D"/>
    <w:rsid w:val="00785400"/>
    <w:rsid w:val="007C790B"/>
    <w:rsid w:val="00856B77"/>
    <w:rsid w:val="008606EB"/>
    <w:rsid w:val="008A314B"/>
    <w:rsid w:val="008A387B"/>
    <w:rsid w:val="00911C0A"/>
    <w:rsid w:val="00913487"/>
    <w:rsid w:val="00924F9D"/>
    <w:rsid w:val="009A4370"/>
    <w:rsid w:val="00AB4B55"/>
    <w:rsid w:val="00AE458F"/>
    <w:rsid w:val="00B86C94"/>
    <w:rsid w:val="00B91EC7"/>
    <w:rsid w:val="00BD3446"/>
    <w:rsid w:val="00BD350C"/>
    <w:rsid w:val="00CA67FE"/>
    <w:rsid w:val="00D03EB2"/>
    <w:rsid w:val="00D554B1"/>
    <w:rsid w:val="00DC17CD"/>
    <w:rsid w:val="00DE1F39"/>
    <w:rsid w:val="00DF254D"/>
    <w:rsid w:val="00E52EB0"/>
    <w:rsid w:val="00E94FA9"/>
    <w:rsid w:val="00F644A1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h-hero.eu/wp-content/uploads/2021/10/DIH-HERO-budget-template-COVID-19-Response-2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h-hero.e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035237997284F8FB8A9AC7C4C07D9" ma:contentTypeVersion="11" ma:contentTypeDescription="Een nieuw document maken." ma:contentTypeScope="" ma:versionID="5790dc7c5c41e00e8c598c08f33f0b56">
  <xsd:schema xmlns:xsd="http://www.w3.org/2001/XMLSchema" xmlns:xs="http://www.w3.org/2001/XMLSchema" xmlns:p="http://schemas.microsoft.com/office/2006/metadata/properties" xmlns:ns2="83524330-c584-432b-ac5a-7f8bd819defb" targetNamespace="http://schemas.microsoft.com/office/2006/metadata/properties" ma:root="true" ma:fieldsID="9bfcf518e997d96e6a0d5ad1be3b3604" ns2:_="">
    <xsd:import namespace="83524330-c584-432b-ac5a-7f8bd819d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4330-c584-432b-ac5a-7f8bd819d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A477D4C5-3CAF-481A-89E2-FE38D4F4F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24330-c584-432b-ac5a-7f8bd819d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0C813-5DC5-4984-AC10-A68FA224E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BFF2D-66E3-4F5D-8897-0E3BEA2FE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Maren (UT-SBD)</cp:lastModifiedBy>
  <cp:revision>2</cp:revision>
  <dcterms:created xsi:type="dcterms:W3CDTF">2021-10-28T06:36:00Z</dcterms:created>
  <dcterms:modified xsi:type="dcterms:W3CDTF">2021-10-28T06:36:00Z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0x0101009D4035237997284F8FB8A9AC7C4C07D9</vt:lpwstr>
  </property>
</Properties>
</file>